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BE35F0">
      <w:pPr>
        <w:jc w:val="both"/>
        <w:rPr>
          <w:rFonts w:hint="eastAsia" w:ascii="黑体" w:hAnsi="黑体" w:eastAsia="黑体" w:cs="宋体"/>
          <w:b w:val="0"/>
          <w:bCs w:val="0"/>
          <w:kern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黑体" w:hAnsi="黑体" w:eastAsia="黑体" w:cs="宋体"/>
          <w:b w:val="0"/>
          <w:bCs w:val="0"/>
          <w:kern w:val="0"/>
          <w:sz w:val="28"/>
          <w:szCs w:val="28"/>
          <w:lang w:val="en-US" w:eastAsia="zh-CN"/>
        </w:rPr>
        <w:t>附件7</w:t>
      </w:r>
    </w:p>
    <w:bookmarkEnd w:id="0"/>
    <w:p w14:paraId="494DF7CA">
      <w:pPr>
        <w:jc w:val="both"/>
        <w:rPr>
          <w:rFonts w:hint="default" w:ascii="黑体" w:hAnsi="黑体" w:eastAsia="黑体" w:cs="宋体"/>
          <w:b w:val="0"/>
          <w:bCs w:val="0"/>
          <w:kern w:val="0"/>
          <w:sz w:val="32"/>
          <w:szCs w:val="32"/>
          <w:lang w:val="en-US" w:eastAsia="zh-CN"/>
        </w:rPr>
      </w:pPr>
    </w:p>
    <w:p w14:paraId="5FFA3F3A">
      <w:pPr>
        <w:jc w:val="center"/>
        <w:rPr>
          <w:rFonts w:ascii="黑体" w:hAnsi="黑体" w:eastAsia="黑体" w:cs="宋体"/>
          <w:kern w:val="0"/>
          <w:sz w:val="36"/>
          <w:szCs w:val="32"/>
        </w:rPr>
      </w:pPr>
      <w:r>
        <w:rPr>
          <w:rFonts w:hint="eastAsia" w:ascii="黑体" w:hAnsi="黑体" w:eastAsia="黑体" w:cs="宋体"/>
          <w:kern w:val="0"/>
          <w:sz w:val="36"/>
          <w:szCs w:val="32"/>
        </w:rPr>
        <w:t>广东碧桂园职业学院</w:t>
      </w:r>
      <w:r>
        <w:rPr>
          <w:rFonts w:ascii="黑体" w:hAnsi="黑体" w:eastAsia="黑体" w:cs="宋体"/>
          <w:kern w:val="0"/>
          <w:sz w:val="36"/>
          <w:szCs w:val="32"/>
        </w:rPr>
        <w:t>关于规范阅卷</w:t>
      </w:r>
      <w:r>
        <w:rPr>
          <w:rFonts w:hint="eastAsia" w:ascii="黑体" w:hAnsi="黑体" w:eastAsia="黑体" w:cs="宋体"/>
          <w:kern w:val="0"/>
          <w:sz w:val="36"/>
          <w:szCs w:val="32"/>
        </w:rPr>
        <w:t>工作</w:t>
      </w:r>
      <w:r>
        <w:rPr>
          <w:rFonts w:ascii="黑体" w:hAnsi="黑体" w:eastAsia="黑体" w:cs="宋体"/>
          <w:kern w:val="0"/>
          <w:sz w:val="36"/>
          <w:szCs w:val="32"/>
        </w:rPr>
        <w:t>的暂行规定</w:t>
      </w:r>
    </w:p>
    <w:p w14:paraId="480837D8">
      <w:pPr>
        <w:adjustRightInd w:val="0"/>
        <w:snapToGrid w:val="0"/>
        <w:spacing w:line="460" w:lineRule="exact"/>
        <w:ind w:firstLine="640" w:firstLineChars="200"/>
        <w:rPr>
          <w:rFonts w:cs="宋体" w:asciiTheme="minorEastAsia" w:hAnsiTheme="minorEastAsia" w:eastAsiaTheme="minorEastAsia"/>
          <w:color w:val="000000"/>
          <w:kern w:val="0"/>
          <w:sz w:val="32"/>
        </w:rPr>
      </w:pPr>
    </w:p>
    <w:p w14:paraId="37D7F560">
      <w:pPr>
        <w:adjustRightInd w:val="0"/>
        <w:snapToGrid w:val="0"/>
        <w:spacing w:line="460" w:lineRule="exact"/>
        <w:ind w:firstLine="560" w:firstLineChars="200"/>
        <w:rPr>
          <w:rFonts w:cs="宋体" w:asciiTheme="minorEastAsia" w:hAnsiTheme="minorEastAsia" w:eastAsiaTheme="minorEastAsia"/>
          <w:color w:val="333333"/>
          <w:sz w:val="28"/>
          <w:szCs w:val="28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试卷属重要的教学原始材料，是教师教学效果和学生学习成绩评价的重要依据，也是教学水平评估检查的重要的教学文件。为规范阅卷工作，</w:t>
      </w:r>
      <w:r>
        <w:rPr>
          <w:rFonts w:hint="eastAsia" w:cs="宋体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制订规定如下：</w:t>
      </w:r>
    </w:p>
    <w:p w14:paraId="02C64759">
      <w:pPr>
        <w:widowControl/>
        <w:adjustRightInd w:val="0"/>
        <w:snapToGrid w:val="0"/>
        <w:spacing w:line="460" w:lineRule="exact"/>
        <w:ind w:firstLine="560" w:firstLineChars="200"/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eastAsia="zh-CN"/>
        </w:rPr>
      </w:pPr>
      <w:r>
        <w:rPr>
          <w:rFonts w:asciiTheme="minorEastAsia" w:hAnsiTheme="minorEastAsia" w:eastAsiaTheme="minorEastAsia"/>
          <w:color w:val="000000"/>
          <w:kern w:val="0"/>
          <w:sz w:val="28"/>
          <w:szCs w:val="28"/>
        </w:rPr>
        <w:t>1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.期末试卷批阅工作由教学单位负责组织教师完成。对于统一命题考试的课程，采用</w:t>
      </w:r>
      <w:r>
        <w:rPr>
          <w:rFonts w:hint="eastAsia" w:cs="宋体" w:asciiTheme="minorEastAsia" w:hAnsiTheme="minorEastAsia" w:eastAsiaTheme="minorEastAsia"/>
          <w:b/>
          <w:bCs/>
          <w:color w:val="000000"/>
          <w:kern w:val="0"/>
          <w:sz w:val="28"/>
          <w:szCs w:val="28"/>
        </w:rPr>
        <w:t>流水线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作业、集体阅卷的方式进行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eastAsia="zh-CN"/>
        </w:rPr>
        <w:t>。</w:t>
      </w:r>
    </w:p>
    <w:p w14:paraId="34C3FFFF">
      <w:pPr>
        <w:widowControl/>
        <w:adjustRightInd w:val="0"/>
        <w:snapToGrid w:val="0"/>
        <w:spacing w:line="460" w:lineRule="exact"/>
        <w:ind w:firstLine="560" w:firstLineChars="200"/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eastAsia="zh-CN"/>
        </w:rPr>
      </w:pPr>
      <w:r>
        <w:rPr>
          <w:rFonts w:asciiTheme="minorEastAsia" w:hAnsiTheme="minorEastAsia" w:eastAsiaTheme="minorEastAsia"/>
          <w:color w:val="000000"/>
          <w:kern w:val="0"/>
          <w:sz w:val="28"/>
          <w:szCs w:val="28"/>
        </w:rPr>
        <w:t>2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.教师阅卷时应本着严肃认真的态度，严格按照试卷的评分标准批阅，避免出现误判、错判、漏判和随意扣分、送分现象，累加总分应准确无误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eastAsia="zh-CN"/>
        </w:rPr>
        <w:t>。</w:t>
      </w:r>
    </w:p>
    <w:p w14:paraId="715AD67C">
      <w:pPr>
        <w:widowControl/>
        <w:adjustRightInd w:val="0"/>
        <w:snapToGrid w:val="0"/>
        <w:spacing w:line="460" w:lineRule="exact"/>
        <w:ind w:firstLine="560" w:firstLineChars="200"/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eastAsia="zh-CN"/>
        </w:rPr>
      </w:pPr>
      <w:r>
        <w:rPr>
          <w:rFonts w:asciiTheme="minorEastAsia" w:hAnsiTheme="minorEastAsia" w:eastAsiaTheme="minorEastAsia"/>
          <w:color w:val="000000"/>
          <w:kern w:val="0"/>
          <w:sz w:val="28"/>
          <w:szCs w:val="28"/>
        </w:rPr>
        <w:t>3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.必须批阅试卷中的所有试题；评阅时必须使</w:t>
      </w:r>
      <w:r>
        <w:rPr>
          <w:rFonts w:hint="eastAsia" w:cs="宋体" w:asciiTheme="minorEastAsia" w:hAnsiTheme="minorEastAsia" w:eastAsiaTheme="minorEastAsia"/>
          <w:kern w:val="0"/>
          <w:sz w:val="28"/>
          <w:szCs w:val="28"/>
        </w:rPr>
        <w:t>用</w:t>
      </w:r>
      <w:r>
        <w:rPr>
          <w:rFonts w:hint="eastAsia" w:cs="宋体" w:asciiTheme="minorEastAsia" w:hAnsiTheme="minorEastAsia" w:eastAsiaTheme="minorEastAsia"/>
          <w:bCs/>
          <w:kern w:val="0"/>
          <w:sz w:val="28"/>
          <w:szCs w:val="28"/>
        </w:rPr>
        <w:t>红色字迹的签字笔或钢笔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。批阅标记和分数应书写规范、工整，易于辨认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eastAsia="zh-CN"/>
        </w:rPr>
        <w:t>。</w:t>
      </w:r>
    </w:p>
    <w:p w14:paraId="5B180866">
      <w:pPr>
        <w:widowControl/>
        <w:adjustRightInd w:val="0"/>
        <w:snapToGrid w:val="0"/>
        <w:spacing w:line="460" w:lineRule="exact"/>
        <w:ind w:firstLine="560" w:firstLineChars="200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kern w:val="0"/>
          <w:sz w:val="28"/>
          <w:szCs w:val="28"/>
        </w:rPr>
        <w:t>4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.试卷批阅标记的具体要求：</w:t>
      </w:r>
    </w:p>
    <w:p w14:paraId="7BAD6D74">
      <w:pPr>
        <w:widowControl/>
        <w:adjustRightInd w:val="0"/>
        <w:snapToGrid w:val="0"/>
        <w:spacing w:line="460" w:lineRule="exact"/>
        <w:ind w:firstLine="560" w:firstLineChars="200"/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eastAsia="zh-CN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⑴每道题必须批阅，解答正确的打勾（√），错误及空白题均画叉（×），答案有部分错误者在错误内容处用下划线标出，答案不完整者在答案内容处用省略号标出。若使用标准化考试答题卡，则只在解答正确的试题后面打勾（√）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eastAsia="zh-CN"/>
        </w:rPr>
        <w:t>。</w:t>
      </w:r>
    </w:p>
    <w:p w14:paraId="12EE50C7">
      <w:pPr>
        <w:widowControl/>
        <w:adjustRightInd w:val="0"/>
        <w:snapToGrid w:val="0"/>
        <w:spacing w:line="460" w:lineRule="exact"/>
        <w:ind w:firstLine="560" w:firstLineChars="200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⑵试卷卷面只赋正分，不标负分。所有大题均在分数栏内标出正分，大题下面有若干小题，也要在分数栏内标出正分；填空题、选择题、判断题等小题数较多的无需每1小题标正分，可统计好分数后直接把统计分数写到分数栏内；简单的客观题，学生完全解答正确的，直接打√并在题目右侧打上正分，复杂的客观题或不能完全解答正确的客观题（如简答题、问答题、分析题、计算题等），可根据《评分标准》的要求按步骤赋分，并在题号前标出正分。</w:t>
      </w:r>
    </w:p>
    <w:p w14:paraId="7E8294A4">
      <w:pPr>
        <w:widowControl/>
        <w:adjustRightInd w:val="0"/>
        <w:snapToGrid w:val="0"/>
        <w:spacing w:line="460" w:lineRule="exact"/>
        <w:ind w:firstLine="560" w:firstLineChars="200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kern w:val="0"/>
          <w:sz w:val="28"/>
          <w:szCs w:val="28"/>
        </w:rPr>
        <w:t>5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.阅卷人要在试题得分栏及试卷统分栏下方签名，</w:t>
      </w:r>
      <w:r>
        <w:rPr>
          <w:rFonts w:hint="eastAsia" w:cs="宋体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统分人在对试卷成绩累加、核准、记录后需签名，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不得使用印章。对于在批阅试卷中的误笔（包括分数改动），应在其错误处打双横杠后改正，改判教师要在改判处下方签全名。</w:t>
      </w:r>
    </w:p>
    <w:p w14:paraId="0AF9BBE8">
      <w:pPr>
        <w:widowControl/>
        <w:adjustRightInd w:val="0"/>
        <w:snapToGrid w:val="0"/>
        <w:spacing w:line="460" w:lineRule="exact"/>
        <w:ind w:firstLine="560" w:firstLineChars="200"/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eastAsia="zh-CN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为减轻阅卷教师的工作量，若试卷非流水阅卷，则可在每门课程第一份试卷的大题得分栏和统分栏中签全名</w:t>
      </w:r>
      <w:r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  <w:t>,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其余试卷的得分栏中无需再签名，统分栏中签姓氏即可；若为流水阅卷，教师在每门课程的第一份试卷得分栏和统分栏中签全名</w:t>
      </w:r>
      <w:r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  <w:t>,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在其余试卷的得分栏和统分栏中签姓氏(同姓需有区别)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eastAsia="zh-CN"/>
        </w:rPr>
        <w:t>。</w:t>
      </w:r>
    </w:p>
    <w:p w14:paraId="663B9309">
      <w:pPr>
        <w:widowControl/>
        <w:adjustRightInd w:val="0"/>
        <w:snapToGrid w:val="0"/>
        <w:spacing w:line="460" w:lineRule="exact"/>
        <w:ind w:firstLine="560" w:firstLineChars="200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kern w:val="0"/>
          <w:sz w:val="28"/>
          <w:szCs w:val="28"/>
        </w:rPr>
        <w:t>6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.保持试卷的整洁，不得在试卷上出现与试卷批阅无关的字迹。</w:t>
      </w:r>
    </w:p>
    <w:p w14:paraId="339513B4">
      <w:pPr>
        <w:widowControl/>
        <w:adjustRightInd w:val="0"/>
        <w:snapToGrid w:val="0"/>
        <w:spacing w:line="460" w:lineRule="exact"/>
        <w:ind w:firstLine="560" w:firstLineChars="200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kern w:val="0"/>
          <w:sz w:val="28"/>
          <w:szCs w:val="28"/>
        </w:rPr>
        <w:t>7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.评阅后必须进行认真复查。对成绩不合格的试卷，特别是</w:t>
      </w:r>
      <w:r>
        <w:rPr>
          <w:rFonts w:asciiTheme="minorEastAsia" w:hAnsiTheme="minorEastAsia" w:eastAsiaTheme="minorEastAsia"/>
          <w:color w:val="000000"/>
          <w:kern w:val="0"/>
          <w:sz w:val="28"/>
          <w:szCs w:val="28"/>
        </w:rPr>
        <w:t>55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－</w:t>
      </w:r>
      <w:r>
        <w:rPr>
          <w:rFonts w:asciiTheme="minorEastAsia" w:hAnsiTheme="minorEastAsia" w:eastAsiaTheme="minorEastAsia"/>
          <w:color w:val="000000"/>
          <w:kern w:val="0"/>
          <w:sz w:val="28"/>
          <w:szCs w:val="28"/>
        </w:rPr>
        <w:t>59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分的试卷要逐一进行认真、细致的复查，严防误判、漏判。</w:t>
      </w:r>
    </w:p>
    <w:p w14:paraId="39E551D2">
      <w:pPr>
        <w:widowControl/>
        <w:adjustRightInd w:val="0"/>
        <w:snapToGrid w:val="0"/>
        <w:spacing w:line="460" w:lineRule="exact"/>
        <w:ind w:firstLine="560" w:firstLineChars="200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kern w:val="0"/>
          <w:sz w:val="28"/>
          <w:szCs w:val="28"/>
        </w:rPr>
        <w:t>8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.教师在试卷批阅过程中发现了问题，要及时向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eastAsia="zh-CN"/>
        </w:rPr>
        <w:t>教学部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汇报，由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val="en-US" w:eastAsia="zh-CN"/>
        </w:rPr>
        <w:t>二级学院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统一研究解决。</w:t>
      </w:r>
    </w:p>
    <w:p w14:paraId="24CAF69D">
      <w:pPr>
        <w:widowControl/>
        <w:adjustRightInd w:val="0"/>
        <w:snapToGrid w:val="0"/>
        <w:spacing w:line="460" w:lineRule="exact"/>
        <w:ind w:firstLine="560" w:firstLineChars="200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kern w:val="0"/>
          <w:sz w:val="28"/>
          <w:szCs w:val="28"/>
        </w:rPr>
        <w:t>9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.阅卷工作结束后，评卷负责人要将试卷分班级按学号顺序从小到大进行整理,并按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val="en-US" w:eastAsia="zh-CN"/>
        </w:rPr>
        <w:t>学校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的要求装订后交教学秘书。由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  <w:lang w:val="en-US" w:eastAsia="zh-CN"/>
        </w:rPr>
        <w:t>二级学院院长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组织人员对试卷的批阅质量进行复查后在规定的时间内交教务科。每学期开学初期，教务科研处须组织人员对试卷的批阅质量进行抽查。</w:t>
      </w:r>
    </w:p>
    <w:p w14:paraId="3031C2CE">
      <w:pPr>
        <w:widowControl/>
        <w:adjustRightInd w:val="0"/>
        <w:snapToGrid w:val="0"/>
        <w:spacing w:line="460" w:lineRule="exact"/>
        <w:ind w:firstLine="560" w:firstLineChars="200"/>
        <w:rPr>
          <w:rFonts w:cs="宋体" w:asciiTheme="minorEastAsia" w:hAnsiTheme="minorEastAsia" w:eastAsiaTheme="minorEastAsia"/>
          <w:color w:val="000000"/>
          <w:kern w:val="0"/>
          <w:sz w:val="28"/>
          <w:szCs w:val="28"/>
        </w:rPr>
      </w:pP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10.无论何种原因，</w:t>
      </w:r>
      <w:r>
        <w:rPr>
          <w:rFonts w:hint="eastAsia" w:cs="宋体" w:asciiTheme="minorEastAsia" w:hAnsiTheme="minorEastAsia" w:eastAsiaTheme="minorEastAsia"/>
          <w:color w:val="333333"/>
          <w:sz w:val="28"/>
          <w:szCs w:val="28"/>
          <w:shd w:val="clear" w:color="auto" w:fill="FFFFFF"/>
        </w:rPr>
        <w:t>学生一律不得参与试卷的评阅与成绩</w:t>
      </w:r>
      <w:r>
        <w:rPr>
          <w:rFonts w:hint="eastAsia" w:cs="宋体" w:asciiTheme="minorEastAsia" w:hAnsiTheme="minorEastAsia" w:eastAsiaTheme="minorEastAsia"/>
          <w:color w:val="000000"/>
          <w:kern w:val="0"/>
          <w:sz w:val="28"/>
          <w:szCs w:val="28"/>
        </w:rPr>
        <w:t>登录工作。</w:t>
      </w:r>
    </w:p>
    <w:p w14:paraId="5C7B3AE9">
      <w:pPr>
        <w:widowControl/>
        <w:adjustRightInd w:val="0"/>
        <w:snapToGrid w:val="0"/>
        <w:spacing w:line="460" w:lineRule="exact"/>
        <w:ind w:firstLine="640" w:firstLineChars="200"/>
        <w:rPr>
          <w:rFonts w:cs="宋体" w:asciiTheme="minorEastAsia" w:hAnsiTheme="minorEastAsia" w:eastAsiaTheme="minorEastAsia"/>
          <w:color w:val="000000"/>
          <w:kern w:val="0"/>
          <w:sz w:val="32"/>
        </w:rPr>
      </w:pPr>
    </w:p>
    <w:p w14:paraId="412D0783">
      <w:pPr>
        <w:widowControl/>
        <w:adjustRightInd w:val="0"/>
        <w:snapToGrid w:val="0"/>
        <w:spacing w:line="460" w:lineRule="exact"/>
        <w:ind w:firstLine="640" w:firstLineChars="200"/>
        <w:rPr>
          <w:rFonts w:cs="宋体" w:asciiTheme="minorEastAsia" w:hAnsiTheme="minorEastAsia" w:eastAsiaTheme="minorEastAsia"/>
          <w:color w:val="000000"/>
          <w:kern w:val="0"/>
          <w:sz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AFC"/>
    <w:rsid w:val="00047AFC"/>
    <w:rsid w:val="00147F1A"/>
    <w:rsid w:val="001B03EE"/>
    <w:rsid w:val="002328C8"/>
    <w:rsid w:val="005A62A2"/>
    <w:rsid w:val="007D2220"/>
    <w:rsid w:val="00816937"/>
    <w:rsid w:val="00862418"/>
    <w:rsid w:val="009E7B13"/>
    <w:rsid w:val="00D96F0E"/>
    <w:rsid w:val="00EB1672"/>
    <w:rsid w:val="00F83808"/>
    <w:rsid w:val="00FD7AAE"/>
    <w:rsid w:val="0B106136"/>
    <w:rsid w:val="133F31EC"/>
    <w:rsid w:val="19035A81"/>
    <w:rsid w:val="1D7F62D1"/>
    <w:rsid w:val="20644ED5"/>
    <w:rsid w:val="365305CE"/>
    <w:rsid w:val="5B33148A"/>
    <w:rsid w:val="6B0B0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1079</Words>
  <Characters>1092</Characters>
  <Lines>8</Lines>
  <Paragraphs>2</Paragraphs>
  <TotalTime>12</TotalTime>
  <ScaleCrop>false</ScaleCrop>
  <LinksUpToDate>false</LinksUpToDate>
  <CharactersWithSpaces>1092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2019-09-17T02:20:00Z</dcterms:created>
  <dc:creator>Users</dc:creator>
  <cp:lastModifiedBy>寒鸿1982</cp:lastModifiedBy>
  <dcterms:modified xsi:type="dcterms:W3CDTF">2025-04-11T06:26:47Z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eyJoZGlkIjoiNmUwYjc3YmUyYTJhZmM4NTUxOTAwZGFjZTM0Nzc5NGYiLCJ1c2VySWQiOiI0MDU0MDM5In0=</vt:lpwstr>
  </property>
  <property fmtid="{D5CDD505-2E9C-101B-9397-08002B2CF9AE}" pid="4" name="ICV">
    <vt:lpwstr>F4A0DE8E2DDC4980AB962D5E4FDD6A63_12</vt:lpwstr>
  </property>
</Properties>
</file>